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7"/>
        <w:gridCol w:w="1417"/>
        <w:gridCol w:w="1132"/>
      </w:tblGrid>
      <w:tr>
        <w:trPr>
          <w:cantSplit w:val="true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Wunderkerzen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68.25pt;height:63pt" o:ole="">
                    <v:imagedata r:id="rId4" o:title=""/>
                  </v:shape>
                  <o:OLEObject Type="Embed" ProgID="PBrush" ShapeID="ole_rId3" DrawAspect="Content" ObjectID="_2056049511" r:id="rId3"/>
                </w:objec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rFonts w:cs="Tahoma"/>
                  <w:b/>
                  <w:sz w:val="32"/>
                  <w:szCs w:val="32"/>
                </w:rPr>
                <w:t>A14l1</w:t>
              </w:r>
            </w:hyperlink>
          </w:p>
        </w:tc>
      </w:tr>
      <w:tr>
        <w:trPr>
          <w:trHeight w:val="385" w:hRule="atLeast"/>
          <w:cantSplit w:val="true"/>
        </w:trPr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color w:val="FFFFFF"/>
                <w:sz w:val="32"/>
                <w:szCs w:val="32"/>
              </w:rPr>
            </w:r>
          </w:p>
        </w:tc>
        <w:tc>
          <w:tcPr>
            <w:tcW w:w="5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ListParagraph"/>
              <w:spacing w:before="0" w:after="160"/>
              <w:ind w:left="0" w:hanging="0"/>
              <w:contextualSpacing/>
              <w:jc w:val="center"/>
              <w:rPr>
                <w:rFonts w:cs="Tahoma"/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unter Wasser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b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</w:r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Beschreibe die Durchführung der Versuchsreihe.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Warum brennen im zweiten Versuchsteil die Wunderkerzen unter Wasser?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Woher stammt der zur Verbrennung benötigte Sauerstoff?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versteht man unter den Begriffen „brennbar“ und „brandfördernd“?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Im zweiten Versuch entsteht auch noch ein brennbares Gas. Welches Gas ist das und wo kommt es her?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1a3b2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1a3b22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1a3b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1a3b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outu.be/hnDbuKS8PL8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://youtu.be/hnDbuKS8PL8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80</Words>
  <Characters>507</Characters>
  <CharactersWithSpaces>622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2020-10-05T20:17:48Z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