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Einfache organische Elementaranalyse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Beispiel: Feuerzeuggas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239013868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L01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b/>
          <w:bCs/>
          <w:sz w:val="24"/>
          <w:szCs w:val="24"/>
        </w:rPr>
        <w:t>Einfache organische Elementaranalyse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– by AK #Kappenberg - 1:10 min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Beschreibe den Versuchsaufbau, notiere die Versuchsdurchführungen und deine Beobachtungen.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Was wird durch das WATESMO-Papier und was durch das Kalkwasser nachgewiesen?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Wieso liegt hier nur ein indirekter Nachweis von Kohlenstoff und Wasserstoff vor, wenn man bedenkt, dass die Reaktion an der Luft stattfindet?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Welche Elemente sind mindestens im Feuerzeuggas enthalten?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92a6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92a65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e92a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92a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Xj43YJ_rYtk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Xj43YJ_rYt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91</Words>
  <Characters>623</Characters>
  <CharactersWithSpaces>752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2020-11-08T01:27:12Z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